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248</w:t>
      </w:r>
    </w:p>
    <w:p>
      <w:r>
        <w:t>Bundesgericht (BGE), 1971-12-17, DE</w:t>
      </w:r>
    </w:p>
    <w:p>
      <w:r>
        <w:rPr>
          <w:b/>
        </w:rPr>
        <w:t xml:space="preserve">Quelle: </w:t>
      </w:r>
      <w:r>
        <w:t>https://mcp.opencaselaw.ch/entscheid/bge_97 V 248</w:t>
      </w:r>
    </w:p>
    <w:p>
      <w:r>
        <w:t>FR: ATF 97 V 248</w:t>
      </w:r>
    </w:p>
    <w:p>
      <w:r>
        <w:t>IT: DTF 97 V 248</w:t>
      </w:r>
    </w:p>
    <w:p>
      <w:pPr>
        <w:pStyle w:val="Heading2"/>
      </w:pPr>
      <w:r>
        <w:t>Regeste</w:t>
      </w:r>
    </w:p>
    <w:p>
      <w:r>
        <w:t>Regeste Art. 97 und 128 OG: über die Zulässigkeit der Verwaltungsgerichtsbeschwerde gegen Zwischenverfügungen. - Die in Art. 5 Abs. 2 VwG erwähnten Verfügungen sind nur anfechtbar, wenn sie die Begriffsbestimmung des Art. 5 Abs. 1 VwG erfüllen. - Die in Art. 45 Abs. 2 VwG erwähnten Zwischenverfügungen sind nur dann selbständig anfechtbar, wenn sie einen nicht wieder gutzumachenden Nachteil im Sinne von Art. 45 Abs. 1 VwG bewirken können.</w:t>
      </w:r>
    </w:p>
    <w:p>
      <w:pPr>
        <w:pStyle w:val="Heading2"/>
      </w:pPr>
      <w:r>
        <w:t>Erwägungen</w:t>
      </w:r>
    </w:p>
    <w:p>
      <w:r>
        <w:rPr>
          <w:b/>
        </w:rPr>
        <w:t>E. 1</w:t>
      </w:r>
    </w:p>
    <w:p>
      <w:r>
        <w:t>Das Eidg. Versicherungsgericht beurteilt gemäss Art. 128 in Verbindung mit Art. 97 OG letztinstanzlich Verwaltungsgerichtsbeschwerden gegen Verfügungen im Sinne von Art. 5 VwG auf dem Gebiete der Sozialversicherung. Als Verfügungen gelten nach der Legaldefinition in Art. 5 Abs. 1 VwG Anordnungen der Behörden im Einzelfall, die sich auf öffentliches Recht des Bundes stützen und die weiteren Voraussetzungen der Buchstaben a-c dieser Bestimmung erfüllen. Verfügungen im Sinne dieser Umschreibung können nach dem Wortlaut des zweiten Absatzes von Art. 5 VwG auch Zwischenverfügungen sein, insoweit sie den Anforderungen des vorangehenden ersten Absatzes entsprechen. Zudem verweist Art. 5 Abs. 2 VwG bezüglich der Zwischenverfügungen auf Art. 45 des gleichen Gesetzes. Diese Bestimmung enthält die weitere Einschränkung, BGE 97 V 248 S. 249 dass nur solche Zwischenverfügungen anfechtbar sind, die einen nicht wieder gutzumachenden Nachteil bewirken können (Art. 45 Abs. 1 VwG). Dieser grundsätzliche Vorbehalt gilt als Voraussetzung der Zulässigkeit eines selbständigen, der Endverfügung vorangehenden Beschwerdeverfahrens insbesondere für alle in Art. 45 Abs. 2 VwG - nicht abschliessend - aufgezählten Zwischenverfügungen ( BGE 97 I 478 , BGE 96 I 294 /295; GYGI, Verwaltungsrechtspflege und Verwaltungsverfahren im Bund, S. 90). Für das letztinstanzliche Beschwerdeverfahren ist ferner zu beachten, dass gemäss Art. 129 Abs. 2 in Verbindung mit Art. 101, Buchstabe a, OG die Verwaltungsgerichtsbeschwerde gegen Zwischenverfügungen nur zulässig ist, wenn sie auch gegen die Endverfügung offensteht.</w:t>
      </w:r>
    </w:p>
    <w:p>
      <w:r>
        <w:rPr>
          <w:b/>
        </w:rPr>
        <w:t>E. 2</w:t>
      </w:r>
    </w:p>
    <w:p>
      <w:r>
        <w:t>Die im vorliegenden Fall angefochtene Verfügung stellt das erstinstanzliche Beschwerdeverfahren ein bis zum Eingang des ergänzenden Kontrollberichtes der Ausgleichskasse. Diese Sistierungsverfügung bewirkt für die Beschwerdeführerin keinen nicht wieder gutzumachenden Nachteil. Es fehlt mithin an einer gesetzlichen Voraussetzung eines selbständigen Beschwerdeverfahrens. Auf die Verwaltungsgerichtsbeschwerde ist daher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